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D0B9E">
        <w:rPr>
          <w:rFonts w:ascii="Times New Roman" w:eastAsia="Times New Roman" w:hAnsi="Times New Roman" w:cs="Times New Roman"/>
          <w:b/>
          <w:sz w:val="24"/>
          <w:szCs w:val="24"/>
        </w:rPr>
        <w:t xml:space="preserve">ГАЗОПРОВОДНО ОТКЛОНЕНИЕ ДО ПРОИЗВОДСТВЕНА ПЛОЩАДКА на “ПАРАЛЕЛ“ЕООД в ПИ 65927.518.4 по КККР на </w:t>
      </w:r>
      <w:proofErr w:type="spellStart"/>
      <w:r w:rsidR="00CD0B9E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CD0B9E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CD0B9E">
        <w:rPr>
          <w:rFonts w:ascii="Times New Roman" w:hAnsi="Times New Roman" w:cs="Times New Roman"/>
          <w:b/>
          <w:sz w:val="24"/>
          <w:szCs w:val="24"/>
        </w:rPr>
        <w:t>„СЕВЛИЕВОГАЗ - 2000“АД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D6A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51</cp:revision>
  <dcterms:created xsi:type="dcterms:W3CDTF">2018-08-08T07:55:00Z</dcterms:created>
  <dcterms:modified xsi:type="dcterms:W3CDTF">2018-12-10T10:00:00Z</dcterms:modified>
</cp:coreProperties>
</file>